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447800" cy="120523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7800" cy="12052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JOC Policy Committee Meeting Minutes</w:t>
      </w:r>
    </w:p>
    <w:p w:rsidR="00000000" w:rsidDel="00000000" w:rsidP="00000000" w:rsidRDefault="00000000" w:rsidRPr="00000000" w14:paraId="00000004">
      <w:pPr>
        <w:rPr/>
      </w:pPr>
      <w:r w:rsidDel="00000000" w:rsidR="00000000" w:rsidRPr="00000000">
        <w:rPr>
          <w:rtl w:val="0"/>
        </w:rPr>
        <w:t xml:space="preserve">March 26,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Present:  Dave Livengood, Craig Robinson, Heidi Goldsmith, Sarah Bieber, and Wendy Sigourney</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Absentees:  Patti Grimm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We reviewed the policies below. They will go to the JOC for the 1st reading on 4/7/25.</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numPr>
          <w:ilvl w:val="0"/>
          <w:numId w:val="2"/>
        </w:numPr>
        <w:ind w:left="720" w:hanging="360"/>
        <w:jc w:val="left"/>
      </w:pPr>
      <w:r w:rsidDel="00000000" w:rsidR="00000000" w:rsidRPr="00000000">
        <w:rPr>
          <w:rtl w:val="0"/>
        </w:rPr>
        <w:t xml:space="preserve">Policy 102</w:t>
      </w:r>
    </w:p>
    <w:p w:rsidR="00000000" w:rsidDel="00000000" w:rsidP="00000000" w:rsidRDefault="00000000" w:rsidRPr="00000000" w14:paraId="0000000E">
      <w:pPr>
        <w:numPr>
          <w:ilvl w:val="0"/>
          <w:numId w:val="2"/>
        </w:numPr>
        <w:ind w:left="720" w:hanging="360"/>
        <w:jc w:val="left"/>
      </w:pPr>
      <w:r w:rsidDel="00000000" w:rsidR="00000000" w:rsidRPr="00000000">
        <w:rPr>
          <w:rtl w:val="0"/>
        </w:rPr>
        <w:t xml:space="preserve">Policy 105 </w:t>
      </w:r>
    </w:p>
    <w:p w:rsidR="00000000" w:rsidDel="00000000" w:rsidP="00000000" w:rsidRDefault="00000000" w:rsidRPr="00000000" w14:paraId="0000000F">
      <w:pPr>
        <w:numPr>
          <w:ilvl w:val="0"/>
          <w:numId w:val="2"/>
        </w:numPr>
        <w:ind w:left="720" w:hanging="360"/>
        <w:jc w:val="left"/>
      </w:pPr>
      <w:r w:rsidDel="00000000" w:rsidR="00000000" w:rsidRPr="00000000">
        <w:rPr>
          <w:rtl w:val="0"/>
        </w:rPr>
        <w:t xml:space="preserve">Policy 105.1 </w:t>
      </w:r>
    </w:p>
    <w:p w:rsidR="00000000" w:rsidDel="00000000" w:rsidP="00000000" w:rsidRDefault="00000000" w:rsidRPr="00000000" w14:paraId="00000010">
      <w:pPr>
        <w:numPr>
          <w:ilvl w:val="0"/>
          <w:numId w:val="2"/>
        </w:numPr>
        <w:ind w:left="720" w:hanging="360"/>
        <w:jc w:val="left"/>
      </w:pPr>
      <w:r w:rsidDel="00000000" w:rsidR="00000000" w:rsidRPr="00000000">
        <w:rPr>
          <w:rtl w:val="0"/>
        </w:rPr>
        <w:t xml:space="preserve">Policy 105.2</w:t>
      </w:r>
    </w:p>
    <w:p w:rsidR="00000000" w:rsidDel="00000000" w:rsidP="00000000" w:rsidRDefault="00000000" w:rsidRPr="00000000" w14:paraId="00000011">
      <w:pPr>
        <w:numPr>
          <w:ilvl w:val="0"/>
          <w:numId w:val="2"/>
        </w:numPr>
        <w:ind w:left="720" w:hanging="360"/>
        <w:jc w:val="left"/>
      </w:pPr>
      <w:r w:rsidDel="00000000" w:rsidR="00000000" w:rsidRPr="00000000">
        <w:rPr>
          <w:rtl w:val="0"/>
        </w:rPr>
        <w:t xml:space="preserve">Policy 110 </w:t>
      </w:r>
    </w:p>
    <w:p w:rsidR="00000000" w:rsidDel="00000000" w:rsidP="00000000" w:rsidRDefault="00000000" w:rsidRPr="00000000" w14:paraId="00000012">
      <w:pPr>
        <w:numPr>
          <w:ilvl w:val="0"/>
          <w:numId w:val="2"/>
        </w:numPr>
        <w:ind w:left="720" w:hanging="360"/>
        <w:jc w:val="left"/>
      </w:pPr>
      <w:r w:rsidDel="00000000" w:rsidR="00000000" w:rsidRPr="00000000">
        <w:rPr>
          <w:rtl w:val="0"/>
        </w:rPr>
        <w:t xml:space="preserve">Policy 115</w:t>
      </w:r>
    </w:p>
    <w:p w:rsidR="00000000" w:rsidDel="00000000" w:rsidP="00000000" w:rsidRDefault="00000000" w:rsidRPr="00000000" w14:paraId="00000013">
      <w:pPr>
        <w:numPr>
          <w:ilvl w:val="0"/>
          <w:numId w:val="2"/>
        </w:numPr>
        <w:ind w:left="720" w:hanging="360"/>
        <w:jc w:val="left"/>
      </w:pPr>
      <w:r w:rsidDel="00000000" w:rsidR="00000000" w:rsidRPr="00000000">
        <w:rPr>
          <w:rtl w:val="0"/>
        </w:rPr>
        <w:t xml:space="preserve">Policy 121  - Discuss the dollar amount.</w:t>
      </w:r>
    </w:p>
    <w:p w:rsidR="00000000" w:rsidDel="00000000" w:rsidP="00000000" w:rsidRDefault="00000000" w:rsidRPr="00000000" w14:paraId="00000014">
      <w:pPr>
        <w:numPr>
          <w:ilvl w:val="0"/>
          <w:numId w:val="2"/>
        </w:numPr>
        <w:ind w:left="720" w:hanging="360"/>
        <w:jc w:val="left"/>
      </w:pPr>
      <w:r w:rsidDel="00000000" w:rsidR="00000000" w:rsidRPr="00000000">
        <w:rPr>
          <w:rtl w:val="0"/>
        </w:rPr>
        <w:t xml:space="preserve">Policy 127 </w:t>
      </w:r>
    </w:p>
    <w:p w:rsidR="00000000" w:rsidDel="00000000" w:rsidP="00000000" w:rsidRDefault="00000000" w:rsidRPr="00000000" w14:paraId="00000015">
      <w:pPr>
        <w:numPr>
          <w:ilvl w:val="0"/>
          <w:numId w:val="2"/>
        </w:numPr>
        <w:ind w:left="720" w:hanging="360"/>
        <w:jc w:val="left"/>
      </w:pPr>
      <w:r w:rsidDel="00000000" w:rsidR="00000000" w:rsidRPr="00000000">
        <w:rPr>
          <w:rtl w:val="0"/>
        </w:rPr>
        <w:t xml:space="preserve">Policy 130 </w:t>
      </w:r>
    </w:p>
    <w:p w:rsidR="00000000" w:rsidDel="00000000" w:rsidP="00000000" w:rsidRDefault="00000000" w:rsidRPr="00000000" w14:paraId="00000016">
      <w:pPr>
        <w:numPr>
          <w:ilvl w:val="0"/>
          <w:numId w:val="2"/>
        </w:numPr>
        <w:ind w:left="720" w:hanging="360"/>
        <w:jc w:val="left"/>
        <w:rPr>
          <w:u w:val="none"/>
        </w:rPr>
      </w:pPr>
      <w:r w:rsidDel="00000000" w:rsidR="00000000" w:rsidRPr="00000000">
        <w:rPr>
          <w:rtl w:val="0"/>
        </w:rPr>
        <w:t xml:space="preserve">Policy 137.1 - This policy is recommended to be archived.</w:t>
      </w:r>
    </w:p>
    <w:p w:rsidR="00000000" w:rsidDel="00000000" w:rsidP="00000000" w:rsidRDefault="00000000" w:rsidRPr="00000000" w14:paraId="00000017">
      <w:pPr>
        <w:numPr>
          <w:ilvl w:val="0"/>
          <w:numId w:val="2"/>
        </w:numPr>
        <w:ind w:left="720" w:hanging="360"/>
        <w:jc w:val="left"/>
        <w:rPr>
          <w:u w:val="none"/>
        </w:rPr>
      </w:pPr>
      <w:r w:rsidDel="00000000" w:rsidR="00000000" w:rsidRPr="00000000">
        <w:rPr>
          <w:rtl w:val="0"/>
        </w:rPr>
        <w:t xml:space="preserve">Policy 146 - This policy is recommended to be archived.</w:t>
      </w:r>
    </w:p>
    <w:p w:rsidR="00000000" w:rsidDel="00000000" w:rsidP="00000000" w:rsidRDefault="00000000" w:rsidRPr="00000000" w14:paraId="00000018">
      <w:pPr>
        <w:numPr>
          <w:ilvl w:val="0"/>
          <w:numId w:val="1"/>
        </w:numPr>
        <w:ind w:left="720" w:hanging="360"/>
        <w:jc w:val="left"/>
      </w:pPr>
      <w:r w:rsidDel="00000000" w:rsidR="00000000" w:rsidRPr="00000000">
        <w:rPr>
          <w:rtl w:val="0"/>
        </w:rPr>
        <w:t xml:space="preserve">Policy 146.1 - This policy is recommended to be archived.</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Heidi is recommending that these two policies be retired since they put us in a position of offering things we don’t have as a CTE.  She will write up some language for Mr. Livengood to provide to our legal counsel for affirmation.</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numPr>
          <w:ilvl w:val="0"/>
          <w:numId w:val="2"/>
        </w:numPr>
        <w:ind w:left="720" w:hanging="360"/>
        <w:jc w:val="left"/>
      </w:pPr>
      <w:r w:rsidDel="00000000" w:rsidR="00000000" w:rsidRPr="00000000">
        <w:rPr>
          <w:rtl w:val="0"/>
        </w:rPr>
        <w:t xml:space="preserve">Policy 143</w:t>
      </w:r>
    </w:p>
    <w:p w:rsidR="00000000" w:rsidDel="00000000" w:rsidP="00000000" w:rsidRDefault="00000000" w:rsidRPr="00000000" w14:paraId="0000001D">
      <w:pPr>
        <w:numPr>
          <w:ilvl w:val="0"/>
          <w:numId w:val="2"/>
        </w:numPr>
        <w:ind w:left="720" w:hanging="360"/>
        <w:jc w:val="left"/>
      </w:pPr>
      <w:r w:rsidDel="00000000" w:rsidR="00000000" w:rsidRPr="00000000">
        <w:rPr>
          <w:rtl w:val="0"/>
        </w:rPr>
        <w:t xml:space="preserve">Policy 144</w:t>
      </w:r>
    </w:p>
    <w:p w:rsidR="00000000" w:rsidDel="00000000" w:rsidP="00000000" w:rsidRDefault="00000000" w:rsidRPr="00000000" w14:paraId="0000001E">
      <w:pPr>
        <w:ind w:left="720" w:firstLine="0"/>
        <w:jc w:val="left"/>
        <w:rPr/>
      </w:pPr>
      <w:r w:rsidDel="00000000" w:rsidR="00000000" w:rsidRPr="00000000">
        <w:rPr>
          <w:rtl w:val="0"/>
        </w:rPr>
      </w:r>
    </w:p>
    <w:p w:rsidR="00000000" w:rsidDel="00000000" w:rsidP="00000000" w:rsidRDefault="00000000" w:rsidRPr="00000000" w14:paraId="0000001F">
      <w:pPr>
        <w:ind w:left="720" w:hanging="720"/>
        <w:jc w:val="left"/>
        <w:rPr/>
      </w:pPr>
      <w:r w:rsidDel="00000000" w:rsidR="00000000" w:rsidRPr="00000000">
        <w:rPr>
          <w:rtl w:val="0"/>
        </w:rPr>
        <w:t xml:space="preserve">In the meantime, we will check with other CTEs to see if they have these policies.</w:t>
      </w:r>
    </w:p>
    <w:p w:rsidR="00000000" w:rsidDel="00000000" w:rsidP="00000000" w:rsidRDefault="00000000" w:rsidRPr="00000000" w14:paraId="00000020">
      <w:pPr>
        <w:ind w:left="720" w:firstLine="0"/>
        <w:jc w:val="left"/>
        <w:rPr/>
      </w:pPr>
      <w:r w:rsidDel="00000000" w:rsidR="00000000" w:rsidRPr="00000000">
        <w:rPr>
          <w:rtl w:val="0"/>
        </w:rPr>
      </w:r>
    </w:p>
    <w:p w:rsidR="00000000" w:rsidDel="00000000" w:rsidP="00000000" w:rsidRDefault="00000000" w:rsidRPr="00000000" w14:paraId="00000021">
      <w:pPr>
        <w:ind w:left="0" w:firstLine="0"/>
        <w:jc w:val="left"/>
        <w:rPr/>
      </w:pPr>
      <w:r w:rsidDel="00000000" w:rsidR="00000000" w:rsidRPr="00000000">
        <w:rPr>
          <w:rtl w:val="0"/>
        </w:rPr>
        <w:t xml:space="preserve">Heidi with her knowledge of Special Ed will review the policies below and make recommendations by Monday. Dave will send them to our legal counsel for review and we will then compare both recommendations.</w:t>
      </w:r>
    </w:p>
    <w:p w:rsidR="00000000" w:rsidDel="00000000" w:rsidP="00000000" w:rsidRDefault="00000000" w:rsidRPr="00000000" w14:paraId="00000022">
      <w:pPr>
        <w:ind w:left="0" w:firstLine="0"/>
        <w:jc w:val="left"/>
        <w:rPr/>
      </w:pPr>
      <w:r w:rsidDel="00000000" w:rsidR="00000000" w:rsidRPr="00000000">
        <w:rPr>
          <w:rtl w:val="0"/>
        </w:rPr>
      </w:r>
    </w:p>
    <w:p w:rsidR="00000000" w:rsidDel="00000000" w:rsidP="00000000" w:rsidRDefault="00000000" w:rsidRPr="00000000" w14:paraId="00000023">
      <w:pPr>
        <w:numPr>
          <w:ilvl w:val="0"/>
          <w:numId w:val="1"/>
        </w:numPr>
        <w:ind w:left="720" w:hanging="360"/>
        <w:jc w:val="left"/>
        <w:rPr>
          <w:u w:val="none"/>
        </w:rPr>
      </w:pPr>
      <w:r w:rsidDel="00000000" w:rsidR="00000000" w:rsidRPr="00000000">
        <w:rPr>
          <w:rtl w:val="0"/>
        </w:rPr>
        <w:t xml:space="preserve">Policy 113</w:t>
      </w:r>
    </w:p>
    <w:p w:rsidR="00000000" w:rsidDel="00000000" w:rsidP="00000000" w:rsidRDefault="00000000" w:rsidRPr="00000000" w14:paraId="00000024">
      <w:pPr>
        <w:numPr>
          <w:ilvl w:val="0"/>
          <w:numId w:val="1"/>
        </w:numPr>
        <w:ind w:left="720" w:hanging="360"/>
        <w:jc w:val="left"/>
        <w:rPr>
          <w:u w:val="none"/>
        </w:rPr>
      </w:pPr>
      <w:r w:rsidDel="00000000" w:rsidR="00000000" w:rsidRPr="00000000">
        <w:rPr>
          <w:rtl w:val="0"/>
        </w:rPr>
        <w:t xml:space="preserve">Policy 113.1</w:t>
      </w:r>
    </w:p>
    <w:p w:rsidR="00000000" w:rsidDel="00000000" w:rsidP="00000000" w:rsidRDefault="00000000" w:rsidRPr="00000000" w14:paraId="00000025">
      <w:pPr>
        <w:numPr>
          <w:ilvl w:val="0"/>
          <w:numId w:val="1"/>
        </w:numPr>
        <w:ind w:left="720" w:hanging="360"/>
        <w:jc w:val="left"/>
        <w:rPr>
          <w:u w:val="none"/>
        </w:rPr>
      </w:pPr>
      <w:r w:rsidDel="00000000" w:rsidR="00000000" w:rsidRPr="00000000">
        <w:rPr>
          <w:rtl w:val="0"/>
        </w:rPr>
        <w:t xml:space="preserve">Policy 113.2</w:t>
      </w:r>
    </w:p>
    <w:p w:rsidR="00000000" w:rsidDel="00000000" w:rsidP="00000000" w:rsidRDefault="00000000" w:rsidRPr="00000000" w14:paraId="00000026">
      <w:pPr>
        <w:numPr>
          <w:ilvl w:val="0"/>
          <w:numId w:val="1"/>
        </w:numPr>
        <w:ind w:left="720" w:hanging="360"/>
        <w:jc w:val="left"/>
        <w:rPr>
          <w:u w:val="none"/>
        </w:rPr>
      </w:pPr>
      <w:r w:rsidDel="00000000" w:rsidR="00000000" w:rsidRPr="00000000">
        <w:rPr>
          <w:rtl w:val="0"/>
        </w:rPr>
        <w:t xml:space="preserve">Policy 113..3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909FE"/>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9909FE"/>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semiHidden w:val="1"/>
    <w:unhideWhenUsed w:val="1"/>
    <w:qFormat w:val="1"/>
    <w:rsid w:val="009909FE"/>
    <w:pPr>
      <w:keepNext w:val="1"/>
      <w:keepLines w:val="1"/>
      <w:spacing w:after="80" w:before="160"/>
      <w:outlineLvl w:val="2"/>
    </w:pPr>
    <w:rPr>
      <w:rFonts w:cstheme="majorBidi" w:eastAsiaTheme="majorEastAsia"/>
      <w:color w:val="2e74b5" w:themeColor="accent1" w:themeShade="0000BF"/>
      <w:sz w:val="28"/>
      <w:szCs w:val="28"/>
    </w:rPr>
  </w:style>
  <w:style w:type="paragraph" w:styleId="Heading4">
    <w:name w:val="heading 4"/>
    <w:basedOn w:val="Normal"/>
    <w:next w:val="Normal"/>
    <w:link w:val="Heading4Char"/>
    <w:uiPriority w:val="9"/>
    <w:semiHidden w:val="1"/>
    <w:unhideWhenUsed w:val="1"/>
    <w:qFormat w:val="1"/>
    <w:rsid w:val="009909FE"/>
    <w:pPr>
      <w:keepNext w:val="1"/>
      <w:keepLines w:val="1"/>
      <w:spacing w:after="40" w:before="80"/>
      <w:outlineLvl w:val="3"/>
    </w:pPr>
    <w:rPr>
      <w:rFonts w:cstheme="majorBidi" w:eastAsiaTheme="majorEastAsia"/>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9909FE"/>
    <w:pPr>
      <w:keepNext w:val="1"/>
      <w:keepLines w:val="1"/>
      <w:spacing w:after="40" w:before="80"/>
      <w:outlineLvl w:val="4"/>
    </w:pPr>
    <w:rPr>
      <w:rFonts w:cstheme="majorBidi" w:eastAsiaTheme="majorEastAsia"/>
      <w:color w:val="2e74b5" w:themeColor="accent1" w:themeShade="0000BF"/>
    </w:rPr>
  </w:style>
  <w:style w:type="paragraph" w:styleId="Heading6">
    <w:name w:val="heading 6"/>
    <w:basedOn w:val="Normal"/>
    <w:next w:val="Normal"/>
    <w:link w:val="Heading6Char"/>
    <w:uiPriority w:val="9"/>
    <w:semiHidden w:val="1"/>
    <w:unhideWhenUsed w:val="1"/>
    <w:qFormat w:val="1"/>
    <w:rsid w:val="009909F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909F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909F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909F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909FE"/>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9909FE"/>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9909FE"/>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9909FE"/>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9909FE"/>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9909F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909F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909F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909F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909F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909F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909F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909F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909FE"/>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9909FE"/>
    <w:rPr>
      <w:i w:val="1"/>
      <w:iCs w:val="1"/>
      <w:color w:val="404040" w:themeColor="text1" w:themeTint="0000BF"/>
    </w:rPr>
  </w:style>
  <w:style w:type="paragraph" w:styleId="ListParagraph">
    <w:name w:val="List Paragraph"/>
    <w:basedOn w:val="Normal"/>
    <w:uiPriority w:val="34"/>
    <w:qFormat w:val="1"/>
    <w:rsid w:val="009909FE"/>
    <w:pPr>
      <w:ind w:left="720"/>
      <w:contextualSpacing w:val="1"/>
    </w:pPr>
  </w:style>
  <w:style w:type="character" w:styleId="IntenseEmphasis">
    <w:name w:val="Intense Emphasis"/>
    <w:basedOn w:val="DefaultParagraphFont"/>
    <w:uiPriority w:val="21"/>
    <w:qFormat w:val="1"/>
    <w:rsid w:val="009909FE"/>
    <w:rPr>
      <w:i w:val="1"/>
      <w:iCs w:val="1"/>
      <w:color w:val="2e74b5" w:themeColor="accent1" w:themeShade="0000BF"/>
    </w:rPr>
  </w:style>
  <w:style w:type="paragraph" w:styleId="IntenseQuote">
    <w:name w:val="Intense Quote"/>
    <w:basedOn w:val="Normal"/>
    <w:next w:val="Normal"/>
    <w:link w:val="IntenseQuoteChar"/>
    <w:uiPriority w:val="30"/>
    <w:qFormat w:val="1"/>
    <w:rsid w:val="009909FE"/>
    <w:pPr>
      <w:pBdr>
        <w:top w:color="2e74b5" w:space="10" w:sz="4" w:themeColor="accent1" w:themeShade="0000BF" w:val="single"/>
        <w:bottom w:color="2e74b5" w:space="10" w:sz="4" w:themeColor="accent1" w:themeShade="0000BF" w:val="single"/>
      </w:pBdr>
      <w:spacing w:after="360" w:before="360"/>
      <w:ind w:left="864" w:right="864"/>
    </w:pPr>
    <w:rPr>
      <w:i w:val="1"/>
      <w:iCs w:val="1"/>
      <w:color w:val="2e74b5" w:themeColor="accent1" w:themeShade="0000BF"/>
    </w:rPr>
  </w:style>
  <w:style w:type="character" w:styleId="IntenseQuoteChar" w:customStyle="1">
    <w:name w:val="Intense Quote Char"/>
    <w:basedOn w:val="DefaultParagraphFont"/>
    <w:link w:val="IntenseQuote"/>
    <w:uiPriority w:val="30"/>
    <w:rsid w:val="009909FE"/>
    <w:rPr>
      <w:i w:val="1"/>
      <w:iCs w:val="1"/>
      <w:color w:val="2e74b5" w:themeColor="accent1" w:themeShade="0000BF"/>
    </w:rPr>
  </w:style>
  <w:style w:type="character" w:styleId="IntenseReference">
    <w:name w:val="Intense Reference"/>
    <w:basedOn w:val="DefaultParagraphFont"/>
    <w:uiPriority w:val="32"/>
    <w:qFormat w:val="1"/>
    <w:rsid w:val="009909FE"/>
    <w:rPr>
      <w:b w:val="1"/>
      <w:bCs w:val="1"/>
      <w:smallCaps w:val="1"/>
      <w:color w:val="2e74b5"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AUXAtcwo/jUxm+a5Qt43RrvMg==">CgMxLjA4AHIhMVNGa2ZaZW9hY2FwNnNqLVdVeUpQYTY5RUc5Rm9hekpo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2025-01-30T13:49:00Z</dcterms:created>
  <dc:creator>Wendy Sigourney</dc:creator>
</cp:coreProperties>
</file>